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7E" w:rsidRDefault="0065567E" w:rsidP="00655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5567E" w:rsidRPr="00AB0F37" w:rsidRDefault="0065567E" w:rsidP="0065567E">
      <w:pPr>
        <w:tabs>
          <w:tab w:val="left" w:pos="2640"/>
          <w:tab w:val="center" w:pos="4677"/>
        </w:tabs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B0F3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AB0F37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65567E" w:rsidRPr="00AB0F37" w:rsidRDefault="0065567E" w:rsidP="0065567E">
      <w:pPr>
        <w:tabs>
          <w:tab w:val="left" w:pos="2640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AB0F37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AB0F37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5567E" w:rsidRPr="00AB0F37" w:rsidRDefault="0065567E" w:rsidP="0065567E">
      <w:pPr>
        <w:tabs>
          <w:tab w:val="left" w:pos="1480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0F37">
        <w:rPr>
          <w:rFonts w:ascii="Times New Roman" w:hAnsi="Times New Roman"/>
          <w:b/>
          <w:sz w:val="28"/>
          <w:szCs w:val="28"/>
        </w:rPr>
        <w:t xml:space="preserve"> Совет депутатов муниципального образования </w:t>
      </w:r>
    </w:p>
    <w:p w:rsidR="0065567E" w:rsidRPr="0065567E" w:rsidRDefault="0065567E" w:rsidP="0065567E">
      <w:pPr>
        <w:tabs>
          <w:tab w:val="left" w:pos="1480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0F37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 w:rsidRPr="00AB0F37">
        <w:rPr>
          <w:rFonts w:ascii="Times New Roman" w:hAnsi="Times New Roman"/>
          <w:b/>
          <w:sz w:val="28"/>
          <w:szCs w:val="28"/>
        </w:rPr>
        <w:t>Ойбонтовское</w:t>
      </w:r>
      <w:proofErr w:type="spellEnd"/>
      <w:r w:rsidRPr="00AB0F37">
        <w:rPr>
          <w:rFonts w:ascii="Times New Roman" w:hAnsi="Times New Roman"/>
          <w:b/>
          <w:sz w:val="28"/>
          <w:szCs w:val="28"/>
        </w:rPr>
        <w:t>»</w:t>
      </w:r>
    </w:p>
    <w:p w:rsidR="0065567E" w:rsidRPr="0065567E" w:rsidRDefault="0065567E" w:rsidP="0065567E">
      <w:pPr>
        <w:pBdr>
          <w:top w:val="thinThickThinSmallGap" w:sz="24" w:space="1" w:color="auto"/>
        </w:pBdr>
        <w:tabs>
          <w:tab w:val="left" w:pos="180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65567E">
        <w:rPr>
          <w:sz w:val="24"/>
          <w:szCs w:val="24"/>
        </w:rPr>
        <w:t xml:space="preserve">671403, у. </w:t>
      </w:r>
      <w:proofErr w:type="spellStart"/>
      <w:r w:rsidRPr="0065567E">
        <w:rPr>
          <w:sz w:val="24"/>
          <w:szCs w:val="24"/>
        </w:rPr>
        <w:t>Тохорюкта</w:t>
      </w:r>
      <w:proofErr w:type="spellEnd"/>
      <w:r w:rsidRPr="0065567E">
        <w:rPr>
          <w:sz w:val="24"/>
          <w:szCs w:val="24"/>
        </w:rPr>
        <w:t xml:space="preserve">,                                              </w:t>
      </w:r>
      <w:r>
        <w:rPr>
          <w:sz w:val="24"/>
          <w:szCs w:val="24"/>
        </w:rPr>
        <w:t xml:space="preserve">                            </w:t>
      </w:r>
      <w:r w:rsidRPr="0065567E">
        <w:rPr>
          <w:sz w:val="24"/>
          <w:szCs w:val="24"/>
        </w:rPr>
        <w:t>тел. /факс 8 (30148) 28 614</w:t>
      </w:r>
    </w:p>
    <w:p w:rsidR="0065567E" w:rsidRPr="0065567E" w:rsidRDefault="0065567E" w:rsidP="0065567E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rPr>
          <w:sz w:val="24"/>
          <w:szCs w:val="24"/>
        </w:rPr>
      </w:pPr>
      <w:r w:rsidRPr="0065567E">
        <w:rPr>
          <w:sz w:val="24"/>
          <w:szCs w:val="24"/>
        </w:rPr>
        <w:t xml:space="preserve">   ул.</w:t>
      </w:r>
      <w:r>
        <w:rPr>
          <w:sz w:val="24"/>
          <w:szCs w:val="24"/>
        </w:rPr>
        <w:t xml:space="preserve"> </w:t>
      </w:r>
      <w:r w:rsidRPr="0065567E">
        <w:rPr>
          <w:sz w:val="24"/>
          <w:szCs w:val="24"/>
        </w:rPr>
        <w:t xml:space="preserve">Школьная 12.                                  </w:t>
      </w:r>
    </w:p>
    <w:p w:rsidR="0065567E" w:rsidRPr="0065567E" w:rsidRDefault="0065567E" w:rsidP="0065567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№ 1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 « </w:t>
      </w:r>
      <w:r w:rsidR="00321E78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» марта  2016 г.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«О передаче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5" w:tooltip="Муниципальные образования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муниципальному образованию</w:t>
        </w:r>
      </w:hyperlink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район» осуществления части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полномочий муниципального образования</w:t>
      </w:r>
    </w:p>
    <w:p w:rsidR="0065567E" w:rsidRDefault="008B6471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Сельские поселения" w:history="1">
        <w:r w:rsidR="0065567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сельского поселения</w:t>
        </w:r>
      </w:hyperlink>
      <w:r w:rsidR="00655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proofErr w:type="spellStart"/>
      <w:r w:rsidR="00655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Ойбонтовское</w:t>
      </w:r>
      <w:proofErr w:type="spellEnd"/>
      <w:r w:rsidR="00655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муниципальному земельному контролю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границах поселения»</w:t>
      </w:r>
    </w:p>
    <w:p w:rsidR="0065567E" w:rsidRDefault="0065567E" w:rsidP="006556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67E" w:rsidRDefault="0065567E" w:rsidP="0065567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ст. 2 ч.1, ст.72 ч.3  Земельного кодекса Российской Федерации, ст. 15 ч.4 Федерального закона от 01.01.2001г. «Об общих принципах организации местного самоуправления в Российской Федерации», в целях повышения эффективности решения вопросов по осуществлению части полномочий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по муниципальному земельному контролю, сессия Совета депутатов </w:t>
      </w:r>
    </w:p>
    <w:p w:rsidR="0065567E" w:rsidRDefault="0065567E" w:rsidP="0065567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РЕШАЕТ:</w:t>
      </w:r>
    </w:p>
    <w:p w:rsidR="0065567E" w:rsidRDefault="0065567E" w:rsidP="0065567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Передать полномочия по муниципальному земельному контролю в границах поселения в 2016-2020гг муниципальному образованию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 за счет  межбюджетных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предоставляемых из бюджета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  </w:t>
      </w:r>
    </w:p>
    <w:p w:rsidR="0065567E" w:rsidRDefault="0065567E" w:rsidP="0065567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Главе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(А.Д. Табданов) заключить соглашение о передаче полномочий в соответствии с требованиями законодательства.</w:t>
      </w:r>
    </w:p>
    <w:p w:rsidR="0065567E" w:rsidRDefault="0065567E" w:rsidP="0065567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законную силу  со дня его подписания.</w:t>
      </w:r>
    </w:p>
    <w:p w:rsidR="0065567E" w:rsidRDefault="0065567E" w:rsidP="0065567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5567E" w:rsidRDefault="0065567E" w:rsidP="0065567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67E" w:rsidRPr="0065567E" w:rsidRDefault="0065567E" w:rsidP="006556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65567E" w:rsidRPr="0065567E" w:rsidRDefault="0065567E" w:rsidP="006556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55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Pr="00655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Ойбонтовское</w:t>
      </w:r>
      <w:proofErr w:type="spellEnd"/>
      <w:r w:rsidRPr="00655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Pr="00655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А.Д. Табданов</w:t>
      </w:r>
    </w:p>
    <w:p w:rsidR="0065567E" w:rsidRPr="0065567E" w:rsidRDefault="0065567E" w:rsidP="006556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СОГЛАШЕНИЕ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МУНИЦИПАЛЬНЫМ ОБРАЗОВАНИЕМ СЕЛЬСКОЕ ПОСЕЛЕНИЕ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И МУНИЦИПАЛЬНЫМ ОБРАЗОВАНИЕМ «ХОРИНСКИЙ РАЙОН» О ПЕРЕДАЧЕ ОСУЩЕСТВЛЕНИЯ ПОЛНОМОЧИЙ</w:t>
      </w:r>
    </w:p>
    <w:p w:rsidR="0065567E" w:rsidRDefault="0065567E" w:rsidP="006556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67E" w:rsidRDefault="0065567E" w:rsidP="006556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Тохорюкта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32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« 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марта 2016 год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сельское поселение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именуемые в дальнейшем "Администрация поселения", в лице главы  Табданов Алексей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Дараевич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Устава муниципального образования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 стороны, и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район», именуемое в дальнейшем "Муниципальное образование", в лице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Ширабдоржиев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Цыремпилович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с другой стороны, вместе именуемые "Стороны", руководствуясь пунктом 4 статьи 15 Федерального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от 6 октября 2003 г. N 131-ФЗ "Об общих принципах организации местного самоуправления в Российской Федерации", для долговременного сотрудничества на договорной основе заключили настоящее Соглашение о нижеследующем: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соглашения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Соглашение закрепляет передачу муниципальному образованию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осуществления полномочий муниципального образования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муниципальному земельному контролю в границах поселения.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Администрация поселения передает Муниципальному образованию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осуществление полномочий по муниципальному земельному контролю в границах поселения.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Передача полномочий производится в целях повышения качества и эффективности  проверок, проводимых уполномоченным органом муниципального контроля, защиты прав участников земельных правоотношений, соблюдения земельного законодательства.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67E" w:rsidRDefault="0065567E" w:rsidP="0065567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Субвенции, перечисляемые на осуществление передаваемых полномочий</w:t>
      </w:r>
    </w:p>
    <w:p w:rsidR="0065567E" w:rsidRDefault="0065567E" w:rsidP="00655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7E" w:rsidRDefault="0065567E" w:rsidP="0065567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Субвенции, передаваемые из бюджета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бюджет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осуществление передаваемых полномочий составляет 100  (Сто) рублей.</w:t>
      </w:r>
    </w:p>
    <w:p w:rsidR="0065567E" w:rsidRDefault="0065567E" w:rsidP="0065567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7E" w:rsidRDefault="0065567E" w:rsidP="006556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3.Срок осуществления полномочий и основания прекращения</w:t>
      </w:r>
    </w:p>
    <w:p w:rsidR="0065567E" w:rsidRDefault="0065567E" w:rsidP="00655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7E" w:rsidRDefault="0065567E" w:rsidP="006556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Настоящее соглашение действует с 01 мая 2016г. по 31 декабря 2020 года.</w:t>
      </w:r>
    </w:p>
    <w:p w:rsidR="0065567E" w:rsidRDefault="0065567E" w:rsidP="0065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3.2. Осуществление полномочий может быть прекращено досрочно по инициативе одной из сторон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их осуществление  становится невозможным, либо сложившихся условиях  когда эти полномочия могут быть наиболее эффективно осуществлены администрацией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самостоятельно, при условии уведомления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не менее чем за один календарный месяц.</w:t>
      </w:r>
    </w:p>
    <w:p w:rsidR="0065567E" w:rsidRDefault="0065567E" w:rsidP="0065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7E" w:rsidRDefault="0065567E" w:rsidP="0065567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65567E" w:rsidRDefault="0065567E" w:rsidP="0065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67E" w:rsidRDefault="0065567E" w:rsidP="0065567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Соглашение составлено в двух экземплярах - по одному для каждой из сторон.</w:t>
      </w:r>
    </w:p>
    <w:p w:rsidR="0065567E" w:rsidRDefault="0065567E" w:rsidP="0065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4.2 Изменения и дополнения к настоящему Соглашению должны совершаться в письменном виде за подписью всех заинтересованных всех заинтересованных сторон.</w:t>
      </w:r>
    </w:p>
    <w:p w:rsidR="0065567E" w:rsidRDefault="0065567E" w:rsidP="0065567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65567E" w:rsidRDefault="0065567E" w:rsidP="006556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РЕКВИЗИТЫ И ПОДПИСИ СТОРОН</w:t>
      </w:r>
    </w:p>
    <w:p w:rsidR="0065567E" w:rsidRDefault="0065567E" w:rsidP="006556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855" w:type="dxa"/>
        <w:tblLayout w:type="fixed"/>
        <w:tblLook w:val="04A0"/>
      </w:tblPr>
      <w:tblGrid>
        <w:gridCol w:w="4748"/>
        <w:gridCol w:w="5107"/>
      </w:tblGrid>
      <w:tr w:rsidR="0065567E" w:rsidTr="0065567E">
        <w:tc>
          <w:tcPr>
            <w:tcW w:w="4748" w:type="dxa"/>
          </w:tcPr>
          <w:p w:rsidR="0065567E" w:rsidRDefault="0065567E">
            <w:pPr>
              <w:keepNext/>
              <w:spacing w:after="0" w:line="240" w:lineRule="auto"/>
              <w:ind w:right="-376"/>
              <w:outlineLvl w:val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06" w:type="dxa"/>
          </w:tcPr>
          <w:p w:rsidR="0065567E" w:rsidRDefault="0065567E">
            <w:pPr>
              <w:keepNext/>
              <w:spacing w:after="0" w:line="240" w:lineRule="auto"/>
              <w:ind w:right="333"/>
              <w:outlineLvl w:val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65567E" w:rsidTr="0065567E">
        <w:tc>
          <w:tcPr>
            <w:tcW w:w="4748" w:type="dxa"/>
            <w:hideMark/>
          </w:tcPr>
          <w:p w:rsidR="0065567E" w:rsidRDefault="0065567E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65567E" w:rsidRDefault="0065567E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Хориский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  <w:p w:rsidR="0065567E" w:rsidRDefault="0065567E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 Бурятия,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65567E" w:rsidRDefault="0065567E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Хоринск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Первомайская, 41.</w:t>
            </w:r>
          </w:p>
          <w:p w:rsidR="0065567E" w:rsidRDefault="0065567E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ИНН: 0321002031, БИК: 048142001</w:t>
            </w:r>
          </w:p>
        </w:tc>
        <w:tc>
          <w:tcPr>
            <w:tcW w:w="5106" w:type="dxa"/>
            <w:hideMark/>
          </w:tcPr>
          <w:p w:rsidR="0065567E" w:rsidRDefault="0065567E">
            <w:pPr>
              <w:spacing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Ойбонтовское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567E" w:rsidRDefault="0065567E">
            <w:pPr>
              <w:spacing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671403,Республика Бурятия,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Тохорюкта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д.12 ИНН 0321004222, БИК 0148142001</w:t>
            </w:r>
          </w:p>
        </w:tc>
      </w:tr>
      <w:tr w:rsidR="0065567E" w:rsidTr="0065567E">
        <w:tc>
          <w:tcPr>
            <w:tcW w:w="4748" w:type="dxa"/>
          </w:tcPr>
          <w:p w:rsidR="0065567E" w:rsidRDefault="0065567E">
            <w:pPr>
              <w:ind w:right="-3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567E" w:rsidRDefault="0065567E">
            <w:pPr>
              <w:ind w:right="-3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567E" w:rsidRDefault="0065567E">
            <w:pPr>
              <w:ind w:right="-3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Ширабдоржиев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Ю.Ц.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                           </w:t>
            </w:r>
          </w:p>
          <w:p w:rsidR="0065567E" w:rsidRDefault="0065567E">
            <w:pPr>
              <w:ind w:right="-3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567E" w:rsidRDefault="0065567E">
            <w:pPr>
              <w:tabs>
                <w:tab w:val="left" w:pos="5400"/>
              </w:tabs>
              <w:spacing w:after="12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  </w:t>
            </w:r>
            <w:r w:rsidR="007662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 »   марта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2016г.</w:t>
            </w:r>
          </w:p>
          <w:p w:rsidR="0065567E" w:rsidRDefault="0065567E">
            <w:pPr>
              <w:ind w:right="-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567E" w:rsidRDefault="0065567E">
            <w:pPr>
              <w:ind w:right="-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106" w:type="dxa"/>
          </w:tcPr>
          <w:p w:rsidR="0065567E" w:rsidRDefault="0065567E">
            <w:pPr>
              <w:tabs>
                <w:tab w:val="left" w:pos="5400"/>
              </w:tabs>
              <w:spacing w:after="0" w:line="240" w:lineRule="auto"/>
              <w:ind w:left="284" w:right="3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7E" w:rsidRDefault="0065567E">
            <w:pPr>
              <w:tabs>
                <w:tab w:val="left" w:pos="5400"/>
              </w:tabs>
              <w:spacing w:after="0" w:line="240" w:lineRule="auto"/>
              <w:ind w:left="284" w:right="3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7E" w:rsidRDefault="0065567E">
            <w:pPr>
              <w:tabs>
                <w:tab w:val="left" w:pos="5400"/>
              </w:tabs>
              <w:spacing w:after="0" w:line="240" w:lineRule="auto"/>
              <w:ind w:left="284" w:right="3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7E" w:rsidRDefault="0065567E">
            <w:pPr>
              <w:tabs>
                <w:tab w:val="left" w:pos="5400"/>
              </w:tabs>
              <w:spacing w:after="0" w:line="240" w:lineRule="auto"/>
              <w:ind w:left="284" w:right="3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7E" w:rsidRDefault="0065567E">
            <w:pPr>
              <w:spacing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______________  /Табданов А.Д.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:rsidR="0065567E" w:rsidRDefault="0065567E">
            <w:pPr>
              <w:spacing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567E" w:rsidRDefault="0076622D">
            <w:pPr>
              <w:spacing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« 17 » марта </w:t>
            </w:r>
            <w:r w:rsidR="0065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2016г.</w:t>
            </w:r>
          </w:p>
          <w:p w:rsidR="0065567E" w:rsidRDefault="0065567E">
            <w:pPr>
              <w:spacing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567E" w:rsidRDefault="0065567E" w:rsidP="0065567E">
      <w:pPr>
        <w:rPr>
          <w:rFonts w:ascii="Times New Roman" w:hAnsi="Times New Roman" w:cs="Times New Roman"/>
          <w:sz w:val="24"/>
          <w:szCs w:val="24"/>
        </w:rPr>
      </w:pPr>
    </w:p>
    <w:p w:rsidR="0065567E" w:rsidRDefault="0065567E" w:rsidP="006556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0880" w:rsidRDefault="00E20880"/>
    <w:sectPr w:rsidR="00E20880" w:rsidSect="00E2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199"/>
    <w:multiLevelType w:val="multilevel"/>
    <w:tmpl w:val="DE6686C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B316863"/>
    <w:multiLevelType w:val="multilevel"/>
    <w:tmpl w:val="F7B0CC9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67E"/>
    <w:rsid w:val="00321E78"/>
    <w:rsid w:val="0065567E"/>
    <w:rsid w:val="0076622D"/>
    <w:rsid w:val="008B6471"/>
    <w:rsid w:val="00D47390"/>
    <w:rsid w:val="00E2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7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web.ru/text/category/selmzskie_poseleniya/" TargetMode="External"/><Relationship Id="rId5" Type="http://schemas.openxmlformats.org/officeDocument/2006/relationships/hyperlink" Target="http://pandiaweb.ru/text/category/munitcipalmznie_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Oybont</dc:creator>
  <cp:lastModifiedBy>Oybont</cp:lastModifiedBy>
  <cp:revision>4</cp:revision>
  <cp:lastPrinted>2016-03-25T01:27:00Z</cp:lastPrinted>
  <dcterms:created xsi:type="dcterms:W3CDTF">2016-03-15T02:38:00Z</dcterms:created>
  <dcterms:modified xsi:type="dcterms:W3CDTF">2016-03-25T01:28:00Z</dcterms:modified>
</cp:coreProperties>
</file>